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令和８年８月21日付で入札告示のありました「カバライオン館自動火災報知設備受信機交換」に係る競争入札参加資格について確認されたく、下記の資料を添えて申請します。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地方自治法施行令第167条の４の規定に該当しない者であること。</w:t>
      </w:r>
    </w:p>
    <w:p w:rsidR="00000000" w:rsidDel="00000000" w:rsidP="00000000" w:rsidRDefault="00000000" w:rsidRPr="00000000" w14:paraId="00000011">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令和８～11年度札幌市競争入札参加資格者名簿（物品・役務）取扱業種が大分類「一般サービス業」のうち、中分類「機械・家具等保守・修理業、市有施設等小規模修繕業」に登録されている者であること。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札幌市内に本店所在地を有する者であること。</w:t>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