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円山動物園で使用する電力仕様書（高圧）</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１　概要</w:t>
      </w:r>
    </w:p>
    <w:p w:rsidR="00000000" w:rsidDel="00000000" w:rsidP="00000000" w:rsidRDefault="00000000" w:rsidRPr="00000000" w14:paraId="00000004">
      <w:pPr>
        <w:rPr/>
      </w:pPr>
      <w:r w:rsidDel="00000000" w:rsidR="00000000" w:rsidRPr="00000000">
        <w:rPr>
          <w:rtl w:val="0"/>
        </w:rPr>
        <w:t xml:space="preserve">（１）適用範囲</w:t>
      </w:r>
    </w:p>
    <w:p w:rsidR="00000000" w:rsidDel="00000000" w:rsidP="00000000" w:rsidRDefault="00000000" w:rsidRPr="00000000" w14:paraId="00000005">
      <w:pPr>
        <w:ind w:firstLine="780"/>
        <w:rPr/>
      </w:pPr>
      <w:r w:rsidDel="00000000" w:rsidR="00000000" w:rsidRPr="00000000">
        <w:rPr>
          <w:rtl w:val="0"/>
        </w:rPr>
        <w:t xml:space="preserve">本仕様書は、環境局円山動物園で使用する電力の調達について適用する。</w:t>
      </w:r>
    </w:p>
    <w:p w:rsidR="00000000" w:rsidDel="00000000" w:rsidP="00000000" w:rsidRDefault="00000000" w:rsidRPr="00000000" w14:paraId="00000006">
      <w:pPr>
        <w:rPr/>
      </w:pPr>
      <w:r w:rsidDel="00000000" w:rsidR="00000000" w:rsidRPr="00000000">
        <w:rPr>
          <w:rtl w:val="0"/>
        </w:rPr>
        <w:t xml:space="preserve">（２）需要場所　　　添付⑴「仕様書別記一覧」のとおり</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1160782</wp:posOffset>
                </wp:positionH>
                <wp:positionV relativeFrom="paragraph">
                  <wp:posOffset>11431</wp:posOffset>
                </wp:positionV>
                <wp:extent cx="247650" cy="476250"/>
                <wp:effectExtent b="0" l="0" r="0" t="0"/>
                <wp:wrapNone/>
                <wp:docPr id="2" name=""/>
                <a:graphic>
                  <a:graphicData uri="http://schemas.microsoft.com/office/word/2010/wordprocessingShape">
                    <wps:wsp>
                      <wps:cNvSpPr/>
                      <wps:cNvPr id="3" name="Shape 3"/>
                      <wps:spPr>
                        <a:xfrm>
                          <a:off x="5231700" y="3551400"/>
                          <a:ext cx="228600" cy="457200"/>
                        </a:xfrm>
                        <a:prstGeom prst="rightBrace">
                          <a:avLst>
                            <a:gd fmla="val 8333" name="adj1"/>
                            <a:gd fmla="val 29167" name="adj2"/>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1160782</wp:posOffset>
                </wp:positionH>
                <wp:positionV relativeFrom="paragraph">
                  <wp:posOffset>11431</wp:posOffset>
                </wp:positionV>
                <wp:extent cx="247650" cy="4762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47650" cy="476250"/>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t xml:space="preserve">（３）用途</w:t>
      </w:r>
    </w:p>
    <w:p w:rsidR="00000000" w:rsidDel="00000000" w:rsidP="00000000" w:rsidRDefault="00000000" w:rsidRPr="00000000" w14:paraId="00000008">
      <w:pPr>
        <w:ind w:firstLine="780"/>
        <w:rPr/>
      </w:pPr>
      <w:r w:rsidDel="00000000" w:rsidR="00000000" w:rsidRPr="00000000">
        <w:rPr>
          <w:rtl w:val="0"/>
        </w:rPr>
      </w:r>
    </w:p>
    <w:p w:rsidR="00000000" w:rsidDel="00000000" w:rsidP="00000000" w:rsidRDefault="00000000" w:rsidRPr="00000000" w14:paraId="00000009">
      <w:pPr>
        <w:ind w:left="260" w:hanging="260"/>
        <w:rPr/>
      </w:pPr>
      <w:r w:rsidDel="00000000" w:rsidR="00000000" w:rsidRPr="00000000">
        <w:rPr>
          <w:rtl w:val="0"/>
        </w:rPr>
        <w:t xml:space="preserve">２　調達仕様</w:t>
      </w:r>
    </w:p>
    <w:p w:rsidR="00000000" w:rsidDel="00000000" w:rsidP="00000000" w:rsidRDefault="00000000" w:rsidRPr="00000000" w14:paraId="0000000A">
      <w:pPr>
        <w:rPr/>
      </w:pPr>
      <w:r w:rsidDel="00000000" w:rsidR="00000000" w:rsidRPr="00000000">
        <w:rPr>
          <w:rtl w:val="0"/>
        </w:rPr>
        <w:t xml:space="preserve">（１）供給電気方式等</w:t>
      </w:r>
    </w:p>
    <w:p w:rsidR="00000000" w:rsidDel="00000000" w:rsidP="00000000" w:rsidRDefault="00000000" w:rsidRPr="00000000" w14:paraId="0000000B">
      <w:pPr>
        <w:ind w:left="780" w:hanging="260"/>
        <w:rPr/>
      </w:pPr>
      <w:r w:rsidDel="00000000" w:rsidR="00000000" w:rsidRPr="00000000">
        <w:rPr>
          <w:rtl w:val="0"/>
        </w:rPr>
        <w:t xml:space="preserve">ア　供給電気方式</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2065655</wp:posOffset>
                </wp:positionH>
                <wp:positionV relativeFrom="paragraph">
                  <wp:posOffset>60961</wp:posOffset>
                </wp:positionV>
                <wp:extent cx="619125" cy="1724025"/>
                <wp:effectExtent b="0" l="0" r="0" t="0"/>
                <wp:wrapNone/>
                <wp:docPr id="1" name=""/>
                <a:graphic>
                  <a:graphicData uri="http://schemas.microsoft.com/office/word/2010/wordprocessingShape">
                    <wps:wsp>
                      <wps:cNvSpPr/>
                      <wps:cNvPr id="2" name="Shape 2"/>
                      <wps:spPr>
                        <a:xfrm>
                          <a:off x="5045963" y="2927513"/>
                          <a:ext cx="600075" cy="1704975"/>
                        </a:xfrm>
                        <a:prstGeom prst="rightBrace">
                          <a:avLst>
                            <a:gd fmla="val 8333" name="adj1"/>
                            <a:gd fmla="val 48161" name="adj2"/>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2065655</wp:posOffset>
                </wp:positionH>
                <wp:positionV relativeFrom="paragraph">
                  <wp:posOffset>60961</wp:posOffset>
                </wp:positionV>
                <wp:extent cx="619125" cy="17240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9125" cy="1724025"/>
                        </a:xfrm>
                        <a:prstGeom prst="rect"/>
                        <a:ln/>
                      </pic:spPr>
                    </pic:pic>
                  </a:graphicData>
                </a:graphic>
              </wp:anchor>
            </w:drawing>
          </mc:Fallback>
        </mc:AlternateContent>
      </w:r>
    </w:p>
    <w:p w:rsidR="00000000" w:rsidDel="00000000" w:rsidP="00000000" w:rsidRDefault="00000000" w:rsidRPr="00000000" w14:paraId="0000000C">
      <w:pPr>
        <w:ind w:left="780" w:hanging="260"/>
        <w:rPr/>
      </w:pPr>
      <w:r w:rsidDel="00000000" w:rsidR="00000000" w:rsidRPr="00000000">
        <w:rPr>
          <w:rtl w:val="0"/>
        </w:rPr>
        <w:t xml:space="preserve">イ　供給電圧（標準電圧）</w:t>
      </w:r>
    </w:p>
    <w:p w:rsidR="00000000" w:rsidDel="00000000" w:rsidP="00000000" w:rsidRDefault="00000000" w:rsidRPr="00000000" w14:paraId="0000000D">
      <w:pPr>
        <w:ind w:firstLine="520"/>
        <w:rPr/>
      </w:pPr>
      <w:r w:rsidDel="00000000" w:rsidR="00000000" w:rsidRPr="00000000">
        <w:rPr>
          <w:rtl w:val="0"/>
        </w:rPr>
        <w:t xml:space="preserve">ウ　計量電圧（標準電圧）</w:t>
      </w:r>
    </w:p>
    <w:p w:rsidR="00000000" w:rsidDel="00000000" w:rsidP="00000000" w:rsidRDefault="00000000" w:rsidRPr="00000000" w14:paraId="0000000E">
      <w:pPr>
        <w:ind w:firstLine="520"/>
        <w:rPr/>
      </w:pPr>
      <w:r w:rsidDel="00000000" w:rsidR="00000000" w:rsidRPr="00000000">
        <w:rPr>
          <w:rtl w:val="0"/>
        </w:rPr>
        <w:t xml:space="preserve">エ　標準周波数　　　　　　　　　</w:t>
      </w:r>
    </w:p>
    <w:p w:rsidR="00000000" w:rsidDel="00000000" w:rsidP="00000000" w:rsidRDefault="00000000" w:rsidRPr="00000000" w14:paraId="0000000F">
      <w:pPr>
        <w:ind w:firstLine="520"/>
        <w:rPr/>
      </w:pPr>
      <w:r w:rsidDel="00000000" w:rsidR="00000000" w:rsidRPr="00000000">
        <w:rPr>
          <w:rtl w:val="0"/>
        </w:rPr>
        <w:t xml:space="preserve">オ　受電方式　　　　　　　　　　添付⑴「仕様書別記一覧」のとおり</w:t>
      </w:r>
    </w:p>
    <w:p w:rsidR="00000000" w:rsidDel="00000000" w:rsidP="00000000" w:rsidRDefault="00000000" w:rsidRPr="00000000" w14:paraId="00000010">
      <w:pPr>
        <w:ind w:firstLine="520"/>
        <w:rPr/>
      </w:pPr>
      <w:r w:rsidDel="00000000" w:rsidR="00000000" w:rsidRPr="00000000">
        <w:rPr>
          <w:rtl w:val="0"/>
        </w:rPr>
        <w:t xml:space="preserve">カ　自家発電設備</w:t>
      </w:r>
    </w:p>
    <w:p w:rsidR="00000000" w:rsidDel="00000000" w:rsidP="00000000" w:rsidRDefault="00000000" w:rsidRPr="00000000" w14:paraId="00000011">
      <w:pPr>
        <w:ind w:firstLine="520"/>
        <w:rPr/>
      </w:pPr>
      <w:r w:rsidDel="00000000" w:rsidR="00000000" w:rsidRPr="00000000">
        <w:rPr>
          <w:rtl w:val="0"/>
        </w:rPr>
        <w:t xml:space="preserve">キ　蓄熱設備等</w:t>
      </w:r>
    </w:p>
    <w:p w:rsidR="00000000" w:rsidDel="00000000" w:rsidP="00000000" w:rsidRDefault="00000000" w:rsidRPr="00000000" w14:paraId="00000012">
      <w:pPr>
        <w:ind w:firstLine="520"/>
        <w:rPr/>
      </w:pPr>
      <w:r w:rsidDel="00000000" w:rsidR="00000000" w:rsidRPr="00000000">
        <w:rPr>
          <w:rtl w:val="0"/>
        </w:rPr>
      </w:r>
    </w:p>
    <w:p w:rsidR="00000000" w:rsidDel="00000000" w:rsidP="00000000" w:rsidRDefault="00000000" w:rsidRPr="00000000" w14:paraId="00000013">
      <w:pPr>
        <w:ind w:firstLine="520"/>
        <w:rPr/>
      </w:pPr>
      <w:r w:rsidDel="00000000" w:rsidR="00000000" w:rsidRPr="00000000">
        <w:rPr>
          <w:rtl w:val="0"/>
        </w:rPr>
      </w:r>
    </w:p>
    <w:p w:rsidR="00000000" w:rsidDel="00000000" w:rsidP="00000000" w:rsidRDefault="00000000" w:rsidRPr="00000000" w14:paraId="00000014">
      <w:pPr>
        <w:ind w:firstLine="52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（２）契約電力（最大使用電力）及び予定使用電力量</w:t>
      </w:r>
    </w:p>
    <w:p w:rsidR="00000000" w:rsidDel="00000000" w:rsidP="00000000" w:rsidRDefault="00000000" w:rsidRPr="00000000" w14:paraId="00000016">
      <w:pPr>
        <w:ind w:left="780" w:hanging="260"/>
        <w:rPr/>
      </w:pPr>
      <w:r w:rsidDel="00000000" w:rsidR="00000000" w:rsidRPr="00000000">
        <w:rPr>
          <w:rtl w:val="0"/>
        </w:rPr>
        <w:t xml:space="preserve">ア　契約電力　　５５０kW</w:t>
      </w:r>
    </w:p>
    <w:p w:rsidR="00000000" w:rsidDel="00000000" w:rsidP="00000000" w:rsidRDefault="00000000" w:rsidRPr="00000000" w14:paraId="00000017">
      <w:pPr>
        <w:ind w:firstLine="520"/>
        <w:rPr/>
      </w:pPr>
      <w:r w:rsidDel="00000000" w:rsidR="00000000" w:rsidRPr="00000000">
        <w:rPr>
          <w:rtl w:val="0"/>
        </w:rPr>
        <w:t xml:space="preserve">イ　予定使用電力量　　2,823,870kWh</w:t>
      </w:r>
    </w:p>
    <w:p w:rsidR="00000000" w:rsidDel="00000000" w:rsidP="00000000" w:rsidRDefault="00000000" w:rsidRPr="00000000" w14:paraId="00000018">
      <w:pPr>
        <w:ind w:firstLine="520"/>
        <w:rPr/>
      </w:pPr>
      <w:r w:rsidDel="00000000" w:rsidR="00000000" w:rsidRPr="00000000">
        <w:rPr>
          <w:rtl w:val="0"/>
        </w:rPr>
        <w:t xml:space="preserve">　　　　　　　　　　　内訳　令和８年度　1,615,367kWh(R8.10～R9.3)</w:t>
      </w:r>
    </w:p>
    <w:p w:rsidR="00000000" w:rsidDel="00000000" w:rsidP="00000000" w:rsidRDefault="00000000" w:rsidRPr="00000000" w14:paraId="00000019">
      <w:pPr>
        <w:ind w:firstLine="520"/>
        <w:rPr/>
      </w:pPr>
      <w:r w:rsidDel="00000000" w:rsidR="00000000" w:rsidRPr="00000000">
        <w:rPr>
          <w:rtl w:val="0"/>
        </w:rPr>
        <w:t xml:space="preserve">                     　　　 令和９年度　1,208,503kWh(R9.4～R9.9)</w:t>
      </w:r>
    </w:p>
    <w:p w:rsidR="00000000" w:rsidDel="00000000" w:rsidP="00000000" w:rsidRDefault="00000000" w:rsidRPr="00000000" w14:paraId="0000001A">
      <w:pPr>
        <w:ind w:firstLine="520"/>
        <w:rPr/>
      </w:pPr>
      <w:r w:rsidDel="00000000" w:rsidR="00000000" w:rsidRPr="00000000">
        <w:rPr>
          <w:rtl w:val="0"/>
        </w:rPr>
      </w:r>
    </w:p>
    <w:p w:rsidR="00000000" w:rsidDel="00000000" w:rsidP="00000000" w:rsidRDefault="00000000" w:rsidRPr="00000000" w14:paraId="0000001B">
      <w:pPr>
        <w:ind w:firstLine="520"/>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（３）供給電気の種類（再生可能エネルギー比率）</w:t>
      </w:r>
    </w:p>
    <w:p w:rsidR="00000000" w:rsidDel="00000000" w:rsidP="00000000" w:rsidRDefault="00000000" w:rsidRPr="00000000" w14:paraId="0000001D">
      <w:pPr>
        <w:ind w:firstLine="520"/>
        <w:rPr/>
      </w:pPr>
      <w:r w:rsidDel="00000000" w:rsidR="00000000" w:rsidRPr="00000000">
        <w:rPr>
          <w:rtl w:val="0"/>
        </w:rPr>
        <w:t xml:space="preserve">ア　「RE100 TECHNICAL CRITERIA」の要件を満たす再生可能エネルギー電気を供給　　　するものとし、その電気は再生可能エネルギー比率100%とする。</w:t>
      </w:r>
    </w:p>
    <w:p w:rsidR="00000000" w:rsidDel="00000000" w:rsidP="00000000" w:rsidRDefault="00000000" w:rsidRPr="00000000" w14:paraId="0000001E">
      <w:pPr>
        <w:rPr/>
      </w:pPr>
      <w:r w:rsidDel="00000000" w:rsidR="00000000" w:rsidRPr="00000000">
        <w:rPr>
          <w:rtl w:val="0"/>
        </w:rPr>
        <w:t xml:space="preserve">　　　参照：添付⑵「RE100 TECHNICAL CRITERIA」の概要</w:t>
      </w:r>
    </w:p>
    <w:p w:rsidR="00000000" w:rsidDel="00000000" w:rsidP="00000000" w:rsidRDefault="00000000" w:rsidRPr="00000000" w14:paraId="0000001F">
      <w:pPr>
        <w:ind w:firstLine="520"/>
        <w:rPr/>
      </w:pPr>
      <w:r w:rsidDel="00000000" w:rsidR="00000000" w:rsidRPr="00000000">
        <w:rPr>
          <w:rtl w:val="0"/>
        </w:rPr>
        <w:t xml:space="preserve">イ　供給する電力量に占める再生可能エネルギー電気の比率について確認できる資　　　料を書面で提出するものとする。</w:t>
      </w:r>
    </w:p>
    <w:p w:rsidR="00000000" w:rsidDel="00000000" w:rsidP="00000000" w:rsidRDefault="00000000" w:rsidRPr="00000000" w14:paraId="00000020">
      <w:pPr>
        <w:rPr/>
      </w:pPr>
      <w:r w:rsidDel="00000000" w:rsidR="00000000" w:rsidRPr="00000000">
        <w:rPr>
          <w:rtl w:val="0"/>
        </w:rPr>
        <w:t xml:space="preserve">　　　参照：添付⑶「特定電源割当証明書（記載例）」</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（４）調達期間</w:t>
      </w:r>
    </w:p>
    <w:p w:rsidR="00000000" w:rsidDel="00000000" w:rsidP="00000000" w:rsidRDefault="00000000" w:rsidRPr="00000000" w14:paraId="00000023">
      <w:pPr>
        <w:ind w:firstLine="780"/>
        <w:rPr/>
      </w:pPr>
      <w:r w:rsidDel="00000000" w:rsidR="00000000" w:rsidRPr="00000000">
        <w:rPr>
          <w:rtl w:val="0"/>
        </w:rPr>
        <w:t xml:space="preserve">令和8年10月1日0時から令和9年9月30日24時までの12カ月</w:t>
      </w:r>
    </w:p>
    <w:p w:rsidR="00000000" w:rsidDel="00000000" w:rsidP="00000000" w:rsidRDefault="00000000" w:rsidRPr="00000000" w14:paraId="00000024">
      <w:pPr>
        <w:rPr/>
      </w:pPr>
      <w:r w:rsidDel="00000000" w:rsidR="00000000" w:rsidRPr="00000000">
        <w:rPr>
          <w:rtl w:val="0"/>
        </w:rPr>
        <w:t xml:space="preserve">（５）需給地点</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2065655</wp:posOffset>
                </wp:positionH>
                <wp:positionV relativeFrom="paragraph">
                  <wp:posOffset>36196</wp:posOffset>
                </wp:positionV>
                <wp:extent cx="571500" cy="723900"/>
                <wp:effectExtent b="0" l="0" r="0" t="0"/>
                <wp:wrapNone/>
                <wp:docPr id="3" name=""/>
                <a:graphic>
                  <a:graphicData uri="http://schemas.microsoft.com/office/word/2010/wordprocessingShape">
                    <wps:wsp>
                      <wps:cNvSpPr/>
                      <wps:cNvPr id="4" name="Shape 4"/>
                      <wps:spPr>
                        <a:xfrm>
                          <a:off x="5069775" y="3427575"/>
                          <a:ext cx="552450" cy="704850"/>
                        </a:xfrm>
                        <a:prstGeom prst="rightBrace">
                          <a:avLst>
                            <a:gd fmla="val 8333" name="adj1"/>
                            <a:gd fmla="val 49512" name="adj2"/>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2065655</wp:posOffset>
                </wp:positionH>
                <wp:positionV relativeFrom="paragraph">
                  <wp:posOffset>36196</wp:posOffset>
                </wp:positionV>
                <wp:extent cx="571500" cy="7239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1500" cy="723900"/>
                        </a:xfrm>
                        <a:prstGeom prst="rect"/>
                        <a:ln/>
                      </pic:spPr>
                    </pic:pic>
                  </a:graphicData>
                </a:graphic>
              </wp:anchor>
            </w:drawing>
          </mc:Fallback>
        </mc:AlternateContent>
      </w:r>
    </w:p>
    <w:p w:rsidR="00000000" w:rsidDel="00000000" w:rsidP="00000000" w:rsidRDefault="00000000" w:rsidRPr="00000000" w14:paraId="00000025">
      <w:pPr>
        <w:rPr/>
      </w:pPr>
      <w:r w:rsidDel="00000000" w:rsidR="00000000" w:rsidRPr="00000000">
        <w:rPr>
          <w:rtl w:val="0"/>
        </w:rPr>
        <w:t xml:space="preserve">（６）電気工作物の財産分界点　　　　添付⑴「仕様書別記一覧」のとおり</w:t>
      </w:r>
    </w:p>
    <w:p w:rsidR="00000000" w:rsidDel="00000000" w:rsidP="00000000" w:rsidRDefault="00000000" w:rsidRPr="00000000" w14:paraId="00000026">
      <w:pPr>
        <w:rPr/>
      </w:pPr>
      <w:r w:rsidDel="00000000" w:rsidR="00000000" w:rsidRPr="00000000">
        <w:rPr>
          <w:rtl w:val="0"/>
        </w:rPr>
        <w:t xml:space="preserve">（７）保安上の責任分界点</w:t>
      </w:r>
    </w:p>
    <w:p w:rsidR="00000000" w:rsidDel="00000000" w:rsidP="00000000" w:rsidRDefault="00000000" w:rsidRPr="00000000" w14:paraId="00000027">
      <w:pPr>
        <w:rPr/>
      </w:pPr>
      <w:r w:rsidDel="00000000" w:rsidR="00000000" w:rsidRPr="00000000">
        <w:rPr>
          <w:rtl w:val="0"/>
        </w:rPr>
        <w:t xml:space="preserve">（８）力率</w:t>
      </w:r>
    </w:p>
    <w:p w:rsidR="00000000" w:rsidDel="00000000" w:rsidP="00000000" w:rsidRDefault="00000000" w:rsidRPr="00000000" w14:paraId="00000028">
      <w:pPr>
        <w:ind w:left="520" w:firstLine="260"/>
        <w:rPr/>
      </w:pPr>
      <w:r w:rsidDel="00000000" w:rsidR="00000000" w:rsidRPr="00000000">
        <w:rPr>
          <w:rtl w:val="0"/>
        </w:rPr>
        <w:t xml:space="preserve">基本料金の力率割引に適用する力率は、その１月のうち毎日午前8時から午後10時までの時間における平均力率とする。</w:t>
      </w:r>
    </w:p>
    <w:p w:rsidR="00000000" w:rsidDel="00000000" w:rsidP="00000000" w:rsidRDefault="00000000" w:rsidRPr="00000000" w14:paraId="00000029">
      <w:pPr>
        <w:ind w:left="520" w:firstLine="260"/>
        <w:rPr/>
      </w:pPr>
      <w:r w:rsidDel="00000000" w:rsidR="00000000" w:rsidRPr="00000000">
        <w:rPr>
          <w:rtl w:val="0"/>
        </w:rPr>
        <w:t xml:space="preserve">力率の単位は、パーセントとし、その端数は、小数点以下第１位を四捨五入とする。（瞬間力率が進み力率となる場合には、その瞬間力率は100パーセントとする。）</w:t>
      </w:r>
    </w:p>
    <w:p w:rsidR="00000000" w:rsidDel="00000000" w:rsidP="00000000" w:rsidRDefault="00000000" w:rsidRPr="00000000" w14:paraId="0000002A">
      <w:pPr>
        <w:rPr/>
      </w:pPr>
      <w:r w:rsidDel="00000000" w:rsidR="00000000" w:rsidRPr="00000000">
        <w:rPr>
          <w:rtl w:val="0"/>
        </w:rPr>
        <w:t xml:space="preserve">（９）その他</w:t>
      </w:r>
    </w:p>
    <w:p w:rsidR="00000000" w:rsidDel="00000000" w:rsidP="00000000" w:rsidRDefault="00000000" w:rsidRPr="00000000" w14:paraId="0000002B">
      <w:pPr>
        <w:ind w:left="780" w:hanging="260"/>
        <w:rPr/>
      </w:pPr>
      <w:r w:rsidDel="00000000" w:rsidR="00000000" w:rsidRPr="00000000">
        <w:rPr>
          <w:rtl w:val="0"/>
        </w:rPr>
        <w:t xml:space="preserve">ア　力率の変動、その他の要因による電気料金の調整及び契約書、仕様書に定めのないその他の供給条件については、北海道管内の一般送配電事業者が定める供給条件によるほか、発注者受注者双方協議のうえこれを定める。</w:t>
      </w:r>
    </w:p>
    <w:p w:rsidR="00000000" w:rsidDel="00000000" w:rsidP="00000000" w:rsidRDefault="00000000" w:rsidRPr="00000000" w14:paraId="0000002C">
      <w:pPr>
        <w:ind w:left="780" w:firstLine="260"/>
        <w:rPr/>
      </w:pPr>
      <w:r w:rsidDel="00000000" w:rsidR="00000000" w:rsidRPr="00000000">
        <w:rPr>
          <w:rtl w:val="0"/>
        </w:rPr>
        <w:t xml:space="preserve">なお、入札価格の算定にあたっては、力率は100％とし、燃料費調整額及び再生可能エネルギー発電促進賦課金を考慮しないこと。</w:t>
      </w:r>
    </w:p>
    <w:p w:rsidR="00000000" w:rsidDel="00000000" w:rsidP="00000000" w:rsidRDefault="00000000" w:rsidRPr="00000000" w14:paraId="0000002D">
      <w:pPr>
        <w:ind w:left="780" w:hanging="780"/>
        <w:rPr/>
      </w:pPr>
      <w:r w:rsidDel="00000000" w:rsidR="00000000" w:rsidRPr="00000000">
        <w:rPr>
          <w:rtl w:val="0"/>
        </w:rPr>
        <w:t xml:space="preserve">　　イ　電力供給事業者が変更となる場合、落札者は契約締結後遅滞なく変更に必要な申込み等を行うこと。</w:t>
      </w:r>
    </w:p>
    <w:p w:rsidR="00000000" w:rsidDel="00000000" w:rsidP="00000000" w:rsidRDefault="00000000" w:rsidRPr="00000000" w14:paraId="0000002E">
      <w:pPr>
        <w:ind w:left="780" w:hanging="780"/>
        <w:rPr/>
      </w:pPr>
      <w:r w:rsidDel="00000000" w:rsidR="00000000" w:rsidRPr="00000000">
        <w:rPr>
          <w:rtl w:val="0"/>
        </w:rPr>
        <w:t xml:space="preserve">　　ウ　再生可能エネルギー電気の確認資料として、受注者は供給元電源情報及び供給電力量に占める再生可能エネルギー電気の比率を確認できる資料として、「特定電源割当証明書」を半期ごとに１回、できるだけ速やかに発注者に送付すること。また、再生可能エネルギー電気の供給に用いた証書の写しを「特定電源割当証明書」提出後に受注者との協議により定めた期間内に提出すること。なお、提出された証書の写しに記載されている情報が再生可能エネルギーの定義を満たしていない場合、小売電気事業者は、再生可能エネルギーの定義を満たす証書を追加で購入し、その証書の写しを発注者に提出する等により補修すること。</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260" w:hanging="260"/>
        <w:rPr/>
      </w:pPr>
      <w:r w:rsidDel="00000000" w:rsidR="00000000" w:rsidRPr="00000000">
        <w:rPr>
          <w:rtl w:val="0"/>
        </w:rPr>
        <w:t xml:space="preserve">３　添付資料</w:t>
      </w:r>
    </w:p>
    <w:p w:rsidR="00000000" w:rsidDel="00000000" w:rsidP="00000000" w:rsidRDefault="00000000" w:rsidRPr="00000000" w14:paraId="00000031">
      <w:pPr>
        <w:ind w:left="260" w:hanging="260"/>
        <w:rPr/>
      </w:pPr>
      <w:r w:rsidDel="00000000" w:rsidR="00000000" w:rsidRPr="00000000">
        <w:rPr>
          <w:rtl w:val="0"/>
        </w:rPr>
        <w:t xml:space="preserve">（１）仕様書別記一覧</w:t>
      </w:r>
    </w:p>
    <w:p w:rsidR="00000000" w:rsidDel="00000000" w:rsidP="00000000" w:rsidRDefault="00000000" w:rsidRPr="00000000" w14:paraId="00000032">
      <w:pPr>
        <w:ind w:left="260" w:hanging="260"/>
        <w:rPr/>
      </w:pPr>
      <w:r w:rsidDel="00000000" w:rsidR="00000000" w:rsidRPr="00000000">
        <w:rPr>
          <w:rtl w:val="0"/>
        </w:rPr>
        <w:t xml:space="preserve">（２）「RE100 TECHNICAL CRITERIA」の概要</w:t>
      </w:r>
    </w:p>
    <w:p w:rsidR="00000000" w:rsidDel="00000000" w:rsidP="00000000" w:rsidRDefault="00000000" w:rsidRPr="00000000" w14:paraId="00000033">
      <w:pPr>
        <w:ind w:left="260" w:hanging="260"/>
        <w:rPr/>
      </w:pPr>
      <w:r w:rsidDel="00000000" w:rsidR="00000000" w:rsidRPr="00000000">
        <w:rPr>
          <w:rtl w:val="0"/>
        </w:rPr>
        <w:t xml:space="preserve">（３）特定電源割当証明書（記載例）</w:t>
      </w:r>
    </w:p>
    <w:p w:rsidR="00000000" w:rsidDel="00000000" w:rsidP="00000000" w:rsidRDefault="00000000" w:rsidRPr="00000000" w14:paraId="00000034">
      <w:pPr>
        <w:ind w:left="260" w:hanging="260"/>
        <w:rPr/>
      </w:pPr>
      <w:r w:rsidDel="00000000" w:rsidR="00000000" w:rsidRPr="00000000">
        <w:rPr>
          <w:rtl w:val="0"/>
        </w:rPr>
        <w:t xml:space="preserve">（４）予定使用電力量</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851" w:top="499" w:left="1247" w:right="1247" w:header="56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t xml:space="preserve">別添01</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uisQwZps6xw7Oh6fW1txuNQ4g==">CgMxLjA4AHIhMWl4bmZpdXV1UXduX1dTOU1hRUg3VXRFMXhjVFI0bFlW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