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令和８年８月10日付で入札告示のありました「円山動物園西門イベントハウス外壁装飾撤去等業務」に係る競争入札参加資格について確認されたく、下記の資料を添えて申請します。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sz w:val="24"/>
          <w:szCs w:val="24"/>
          <w:rtl w:val="0"/>
        </w:rPr>
        <w:t xml:space="preserve">地方自治法施行令第167条の４の規定に該当しない者であること。</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令和８～11年度札幌市競争入札参加資格者名簿（物品・役務）取扱業種が大分類「一般サービス業」のうち、中分類「機械・家具等保守・修理業、市有施設等小規模修繕業」、小分類「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札幌市内に本店所在地を有する者であること。</w:t>
      </w:r>
      <w:r w:rsidDel="00000000" w:rsidR="00000000" w:rsidRPr="00000000">
        <w:rPr>
          <w:rtl w:val="0"/>
        </w:rPr>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会社更生法による更生手続開始の申立てがなされている者または民事再生法による再生手続開始の申立てがなされている者（手続開始の決定後の者は除く。）等経営状態が著しく不健全な者でないこと。</w:t>
      </w:r>
      <w:r w:rsidDel="00000000" w:rsidR="00000000" w:rsidRPr="00000000">
        <w:rPr>
          <w:rtl w:val="0"/>
        </w:rPr>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