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会社法第２条第４号の規定による親会社は、次のとおりです。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会社法第２条第３号の規定による子会社のうち、札幌市競争入札参加資格者名簿に登載されている者は、次のとおりです。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③　①に記載した親会社の他の子会社のうち、札幌市競争入札参加資格者名簿に登載されている者は、次のとおりです。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役員等を兼任している他の会社（親子関係にある会社を除く。）のうち、札幌市競争入札参加資格者名簿に登載されている者は、次のとおりです。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役員等とは次に掲げる者をいいます。</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sz w:val="21"/>
          <w:szCs w:val="21"/>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1　取締役（社外取締役、執行役を兼ねていない委員会設置会社の取締役は除く。）、代表取締  </w:t>
      </w:r>
      <w:r w:rsidDel="00000000" w:rsidR="00000000" w:rsidRPr="00000000">
        <w:rPr>
          <w:rFonts w:ascii="MS Mincho" w:cs="MS Mincho" w:eastAsia="MS Mincho" w:hAnsi="MS Mincho"/>
          <w:sz w:val="21"/>
          <w:szCs w:val="21"/>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2　委員会設置会社における執行役、代表執行役</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3　会社更生法第67条第1項又は民事再生法第64条第2項の規定により選任された管財人</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kA1IjbBcl7OvBvB9W4oqXLNow==">CgMxLjA4AHIhMXJQZmdIUHZiVmJwaWNOOE5EbTh2TkY2cVEwTm9qUzRL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