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様式１の４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まちづくり協議会の概要</w:t>
      </w:r>
    </w:p>
    <w:tbl>
      <w:tblPr>
        <w:tblStyle w:val="Table1"/>
        <w:tblW w:w="84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1037"/>
        <w:gridCol w:w="5580"/>
        <w:tblGridChange w:id="0">
          <w:tblGrid>
            <w:gridCol w:w="1843"/>
            <w:gridCol w:w="1037"/>
            <w:gridCol w:w="5580"/>
          </w:tblGrid>
        </w:tblGridChange>
      </w:tblGrid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協議会名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事務局等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〒　　　－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構成員数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rHeight w:val="17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協議会の目的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年間事業計画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この様式によりがたいときは、他の様式に代えることができます。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※"/>
      <w:lvlJc w:val="left"/>
      <w:pPr>
        <w:ind w:left="480" w:hanging="48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2ijsZyURS8nhluATQR7fP4JGaQ==">CgMxLjA4AHIhMThDSDZVek50R3R2T2pwTnc1Mm5FRmd5TEpEb1QzQjFL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