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142"/>
        <w:gridCol w:w="2585"/>
        <w:gridCol w:w="6487"/>
        <w:gridCol w:w="64"/>
        <w:gridCol w:w="10"/>
        <w:tblGridChange w:id="0">
          <w:tblGrid>
            <w:gridCol w:w="142"/>
            <w:gridCol w:w="2585"/>
            <w:gridCol w:w="6487"/>
            <w:gridCol w:w="64"/>
            <w:gridCol w:w="10"/>
          </w:tblGrid>
        </w:tblGridChange>
      </w:tblGrid>
      <w:tr>
        <w:trPr>
          <w:cantSplit w:val="0"/>
          <w:trHeight w:val="1642" w:hRule="atLeast"/>
          <w:tblHeader w:val="0"/>
        </w:trPr>
        <w:tc>
          <w:tcPr>
            <w:gridSpan w:val="5"/>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0" w:firstLine="0"/>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sz w:val="24"/>
                <w:szCs w:val="24"/>
                <w:rtl w:val="0"/>
              </w:rPr>
              <w:t xml:space="preserve">  令和７年度冬期札幌丘珠空港航空機騒音等調査業務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入札代理人　　氏　　　　名</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YLdEFnhTOZagl8sAus2xrTiGQ==">CgMxLjA4AHIhMVQtempLelFVcUlXRFp3VFRLOExxM21teExjWmppRzRU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2017-04-11T00:47:00Z</dcterms:created>
  <dc:creator>札幌市財政局管財部</dc:creator>
</cp:coreProperties>
</file>