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tbl>
      <w:tblPr>
        <w:tblStyle w:val="Table1"/>
        <w:tblW w:w="9288.0" w:type="dxa"/>
        <w:jc w:val="left"/>
        <w:tblInd w:w="-105.0" w:type="dxa"/>
        <w:tblLayout w:type="fixed"/>
        <w:tblLook w:val="0000"/>
      </w:tblPr>
      <w:tblGrid>
        <w:gridCol w:w="142"/>
        <w:gridCol w:w="2585"/>
        <w:gridCol w:w="6487"/>
        <w:gridCol w:w="64"/>
        <w:gridCol w:w="10"/>
        <w:tblGridChange w:id="0">
          <w:tblGrid>
            <w:gridCol w:w="142"/>
            <w:gridCol w:w="2585"/>
            <w:gridCol w:w="6487"/>
            <w:gridCol w:w="64"/>
            <w:gridCol w:w="10"/>
          </w:tblGrid>
        </w:tblGridChange>
      </w:tblGrid>
      <w:tr>
        <w:trPr>
          <w:cantSplit w:val="0"/>
          <w:trHeight w:val="1642" w:hRule="atLeast"/>
          <w:tblHeader w:val="0"/>
        </w:trPr>
        <w:tc>
          <w:tcPr>
            <w:gridSpan w:val="5"/>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入</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札</w:t>
            </w:r>
            <w:r w:rsidDel="00000000" w:rsidR="00000000" w:rsidRPr="00000000">
              <w:rPr>
                <w:rFonts w:ascii="MS Mincho" w:cs="MS Mincho" w:eastAsia="MS Mincho" w:hAnsi="MS Mincho"/>
                <w:sz w:val="48"/>
                <w:szCs w:val="48"/>
                <w:rtl w:val="0"/>
              </w:rPr>
              <w:t xml:space="preserve">　</w:t>
            </w: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widowControl w:val="0"/>
              <w:ind w:left="0" w:firstLine="0"/>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sz w:val="24"/>
                <w:szCs w:val="24"/>
                <w:rtl w:val="0"/>
              </w:rPr>
              <w:t xml:space="preserve">  令和７年度札幌駅北口駅前広場上屋整備予備検討業務</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（あて先）札幌市長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住　　　　所</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職 ・ 氏  名　　　　　　　　　　　　　　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入札代理人　　氏　　　　名</w:t>
            </w: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IDYkfQGYoqNST4dcixR+QGluQ==">CgMxLjA4AHIhMUlQZkxPaVpPLUdJbEZrYXBmbWtxSFVNWjE3QkFzNmVB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2017-04-11T00:47:00Z</dcterms:created>
  <dc:creator>札幌市財政局管財部</dc:creator>
</cp:coreProperties>
</file>