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4"/>
          <w:szCs w:val="24"/>
          <w:u w:val="single"/>
          <w:rtl w:val="0"/>
        </w:rPr>
        <w:t xml:space="preserve">令和７年度新札幌駅連絡通路改修検討ほか移動等円滑化調査検討業務</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８年度札幌市競争入札参加資格者名簿（工事・建設関連サービス・道路維持除雪）において、大分類が「建設関連サービス業」、中分類が「土木設計・監理業（Ａ）」かつ「建築設計・監理業（Ａ）」に登録されている者であること。</w:t>
      </w:r>
    </w:p>
    <w:p w:rsidR="00000000" w:rsidDel="00000000" w:rsidP="00000000" w:rsidRDefault="00000000" w:rsidRPr="00000000" w14:paraId="00000016">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札幌市内に本店又は支店等の所在地を有すること。</w:t>
      </w:r>
    </w:p>
    <w:p w:rsidR="00000000" w:rsidDel="00000000" w:rsidP="00000000" w:rsidRDefault="00000000" w:rsidRPr="00000000" w14:paraId="00000017">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国又は地方公共団体が発注した次の業務を元請として履行した実績があること。</w:t>
      </w:r>
    </w:p>
    <w:p w:rsidR="00000000" w:rsidDel="00000000" w:rsidP="00000000" w:rsidRDefault="00000000" w:rsidRPr="00000000" w14:paraId="00000018">
      <w:pPr>
        <w:widowControl w:val="0"/>
        <w:spacing w:line="240" w:lineRule="auto"/>
        <w:ind w:left="72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・地上又は地下の歩行者通路の設計に関わる業務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一般競争入札参加資格確認資料</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同種業務等実績書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契約書・請書の写し　または　□「テクリス」の登録内容確認書の写し</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設計書・仕様書　　□ その他資料（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競争参加資格認定通知書の写し</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同 種 業 務 等 実 績 書</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smallCaps w:val="0"/>
          <w:strike w:val="0"/>
          <w:color w:val="000000"/>
          <w:sz w:val="24"/>
          <w:szCs w:val="24"/>
          <w:u w:val="single"/>
          <w:shd w:fill="auto" w:val="clear"/>
          <w:vertAlign w:val="baseline"/>
          <w:rtl w:val="0"/>
        </w:rPr>
        <w:t xml:space="preserve">会社名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tl w:val="0"/>
        </w:rPr>
      </w:r>
    </w:p>
    <w:tbl>
      <w:tblPr>
        <w:tblStyle w:val="Table1"/>
        <w:tblW w:w="9949.000000000002" w:type="dxa"/>
        <w:jc w:val="left"/>
        <w:tblInd w:w="-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3022"/>
        <w:gridCol w:w="1418"/>
        <w:gridCol w:w="1842"/>
        <w:gridCol w:w="142"/>
        <w:gridCol w:w="1701"/>
        <w:tblGridChange w:id="0">
          <w:tblGrid>
            <w:gridCol w:w="452"/>
            <w:gridCol w:w="425"/>
            <w:gridCol w:w="947"/>
            <w:gridCol w:w="3022"/>
            <w:gridCol w:w="1418"/>
            <w:gridCol w:w="1842"/>
            <w:gridCol w:w="142"/>
            <w:gridCol w:w="1701"/>
          </w:tblGrid>
        </w:tblGridChange>
      </w:tblGrid>
      <w:tr>
        <w:trPr>
          <w:cantSplit w:val="1"/>
          <w:trHeight w:val="30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196.9999999999998"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top w:color="000000" w:space="0" w:sz="4" w:val="single"/>
              <w:bottom w:color="000000" w:space="0" w:sz="12" w:val="single"/>
              <w:right w:color="000000" w:space="0" w:sz="12"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6.99999999999974"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33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5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24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1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4"/>
            <w:tcBorders>
              <w:top w:color="000000" w:space="0" w:sz="12"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right w:color="000000" w:space="0" w:sz="12" w:val="single"/>
            </w:tcBorders>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51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830"/>
        <w:jc w:val="both"/>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sz w:val="26"/>
          <w:szCs w:val="26"/>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注１　直近の業務を４件まで記載すること。</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２　「テクリス」に登録している業務については、登録番号を記載すること。</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３　契約書・請書の写し、または「テクリス」登録内容確認書の写しを添付すること。</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４　業務の内容が確認できる書類（設計書、仕様書その他申請者が必要と判断した書類）を添付すること</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５　この様式により難い場合は、この様式に準じた別の様式を使用することができる。</w:t>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QIzJ0VEoBsPLPn4JHoDw6Zbfg==">CgMxLjAyDmgua2VyYjZiaWJ5bjRpOAByITFfdXlrLWNVX3J2X1hjMFpVYWgtZjYwWEc3X1BuRDVFcA==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