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（令和７年度未指定・未登録文化財（無形要素）物件調査業務）</w:t>
      </w:r>
    </w:p>
    <w:p w:rsidR="00000000" w:rsidDel="00000000" w:rsidP="00000000" w:rsidRDefault="00000000" w:rsidRPr="00000000" w14:paraId="0000000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88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ind w:firstLine="5880"/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ind w:firstLine="5880"/>
        <w:jc w:val="left"/>
        <w:rPr/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連絡先</w:t>
      </w:r>
      <w:r w:rsidDel="00000000" w:rsidR="00000000" w:rsidRPr="00000000">
        <w:rPr>
          <w:rtl w:val="0"/>
        </w:rPr>
        <w:t xml:space="preserve">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（Ｅメールアドレス：bunkazai-keiyaku@city.sapporo.jp）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E8465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 w:val="1"/>
    <w:rsid w:val="003C2EE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3C2E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3pNtdFky/huZtOfrgLUy19HK4w==">CgMxLjA4AHIhMXhoSDBsUXNfUU5oaFhjS2paSExYcURvS0sxSzJwTW1l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2020-07-18T02:35:00Z</dcterms:created>
  <dc:creator>218.刈田　圭一</dc:creator>
</cp:coreProperties>
</file>