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１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札幌芸術の森工芸館地下オイルタンク修繕業務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一財）全国危険物安全協会により、「鋼製地下タンクFRP内面ライニング施工事業者」として認定を受けた事業者であることが分かる認定証の写し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C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318RxRCCMtNVCp9IQPFxjnVdA==">CgMxLjA4AHIhMTAtV0xfUzF0NGRUcWJtWDJHSzZEbG5MZDJyVnFjV2ht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