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21</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公園トイレ利用者数調査業務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lr4RyQ/BBKHQBigIMp+3Rq0eQ==">CgMxLjA4AHIhMXNNamJPZjczVnQxSGVwTW1aTjgzWTFrZ0szdG1Od1pJ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