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年６月</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防災・安全交付金事業 札幌市公園施設長寿命化更新検討業務（建築物・橋梁）</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XXYv0MUDOIoZeKfAuVS71MZxvw==">CgMxLjA4AHIhMUdhZ1ktTFhValEyTlhyek1YMEpCbWV6UGNsTWpoaFBI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