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モエレ沼公園高圧コンデンサ更新業務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ZVse/VRpdcrI5Ju5k+T4NfZqg==">CgMxLjA4AHIhMUlYNmlPRFpCazBieDN3VU84bDRrQnVMUVVjeFVGTHhD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