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年４月1</w:t>
      </w:r>
      <w:r w:rsidDel="00000000" w:rsidR="00000000" w:rsidRPr="00000000">
        <w:rPr>
          <w:rFonts w:ascii="MS Mincho" w:cs="MS Mincho" w:eastAsia="MS Mincho" w:hAnsi="MS Mincho"/>
          <w:sz w:val="24"/>
          <w:szCs w:val="24"/>
          <w:rtl w:val="0"/>
        </w:rPr>
        <w:t xml:space="preserve">3</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（業務名）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一般財団法人日本緑化センターが交付した樹木医認定証の写し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直接的な雇用関係を確認できる書類</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例）・市区町村が発行した住民税特別徴収税額の決定通知書（特別徴収義務者用）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・厚生年金保険被保険者標準報酬決定通知書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5" w:right="0" w:hanging="164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Do2sq6DuGTHoSq6JR8C/z0gnw==">CgMxLjA4AHIhMWh5c0pCb0o0NWJOZWRkRzRsMEpsQkVQdHlmR2ZfSWFK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