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3957"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(1)金属類　　　　　 　20ℓ当たり　金　　　　　円</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(2)廃プラスチック類　１kg当たり　金　　　　　円</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(3)ガラス・陶磁器屑　１kg当たり　金　　　　　円</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(4)蛍光管　　40㍗直管１本当たり　金　　　　　円</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(5)使用済乾電池　　　１kg当たり　金　　　　　円</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left"/>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落札者の決定にあたっては、上記(1)～(5)の単価のすべてが予定価格の範囲内であり、かつ上記(1)～(5)の単価に仕様書（別紙２）に定める件名ごとの年間排出予定数量（「(1)金属類」については、これを20で除した数量）を乗じて得た額の総額が最低である者を落札者とする。</w:t>
            </w:r>
            <w:r w:rsidDel="00000000" w:rsidR="00000000" w:rsidRPr="00000000">
              <w:rPr>
                <w:rtl w:val="0"/>
              </w:rPr>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札幌市立学校産業廃棄物収集運搬業務（</w:t>
            </w:r>
            <w:r w:rsidDel="00000000" w:rsidR="00000000" w:rsidRPr="00000000">
              <w:rPr>
                <w:rFonts w:ascii="MS Mincho" w:cs="MS Mincho" w:eastAsia="MS Mincho" w:hAnsi="MS Mincho"/>
                <w:rtl w:val="0"/>
              </w:rPr>
              <w:t xml:space="preserve">東区・白石区</w:t>
            </w: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67"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6"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