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w:t>
            </w:r>
            <w:r w:rsidDel="00000000" w:rsidR="00000000" w:rsidRPr="00000000">
              <w:rPr>
                <w:rFonts w:ascii="MS Mincho" w:cs="MS Mincho" w:eastAsia="MS Mincho" w:hAnsi="MS Mincho"/>
                <w:sz w:val="28"/>
                <w:szCs w:val="28"/>
                <w:rtl w:val="0"/>
              </w:rPr>
              <w:t xml:space="preserve">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札 金 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 達 件 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年度災害共済給付金支給データ・振込通知書作成業務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9P59BV49L1XvNcg2G2Dik8dLA==">CgMxLjA4AHIhMXFPc0RhdDBocl9Ccld2SzdseWZFY24zTEkxWVJhSjM4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2025-01-16T06:13:00Z</dcterms:created>
  <dc:creator>札幌市財政局管財部</dc:creator>
</cp:coreProperties>
</file>