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「伏見小学校ほか2校照明器具PCB含有調査業務」の入札説明書４(6)ア及びイにて定められております参加資格について、下記のとおり申請します。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7530"/>
        <w:tblGridChange w:id="0">
          <w:tblGrid>
            <w:gridCol w:w="975"/>
            <w:gridCol w:w="7530"/>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建設業法上の電気工事における主任技術者の資格を有する者の</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実務経験等</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S0QDdl7VyDpEkSKXVv3CXMPFw==">CgMxLjA4AHIhMWp1TjlVaEFjNkVNSXhTYVhDSnI5WGZMRUYyQVJUeWFx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