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107"/>
        <w:gridCol w:w="6662"/>
        <w:gridCol w:w="206"/>
        <w:gridCol w:w="10"/>
        <w:tblGridChange w:id="0">
          <w:tblGrid>
            <w:gridCol w:w="303"/>
            <w:gridCol w:w="2107"/>
            <w:gridCol w:w="6662"/>
            <w:gridCol w:w="206"/>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令和８年度スケアード・ストレート教育技法による</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自転車交通安全教室業務</w:t>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　　商号又は名称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　　　　　　　　　　　　　　　　　　　　　　別紙１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RdOF2CTsRVYEOoqvVJ34F+uZbw==">CgMxLjA4AHIhMThYVFNfWllVQk80RG5iWHBkb181VjNhSVIxM0Z1N1ha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2024-04-01T05:50:00Z</dcterms:created>
  <dc:creator>札幌市財政局管財部</dc:creator>
</cp:coreProperties>
</file>