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375.0" w:type="dxa"/>
        <w:jc w:val="left"/>
        <w:tblInd w:w="-105.0" w:type="dxa"/>
        <w:tblLayout w:type="fixed"/>
        <w:tblLook w:val="0000"/>
      </w:tblPr>
      <w:tblGrid>
        <w:gridCol w:w="300"/>
        <w:gridCol w:w="2430"/>
        <w:gridCol w:w="6420"/>
        <w:gridCol w:w="120"/>
        <w:gridCol w:w="105"/>
        <w:tblGridChange w:id="0">
          <w:tblGrid>
            <w:gridCol w:w="300"/>
            <w:gridCol w:w="2430"/>
            <w:gridCol w:w="6420"/>
            <w:gridCol w:w="120"/>
            <w:gridCol w:w="105"/>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jc w:val="both"/>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sz w:val="28"/>
                <w:szCs w:val="28"/>
                <w:rtl w:val="0"/>
              </w:rPr>
              <w:t xml:space="preserve">資生館小ミニ児童会館　パッケージエアコン修繕業務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m5wpttMzaF+tAiWCgw350HLzTA==">CgMxLjA4AHIhMV9fVElPSU1TQ0t6NnVQNzNqbG1wS1Z6eHZGb0xpTWN1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