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23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民間児童育成会に係る賠償責任保険（対人・対物）</w:t>
            </w:r>
          </w:p>
          <w:p w:rsidR="00000000" w:rsidDel="00000000" w:rsidP="00000000" w:rsidRDefault="00000000" w:rsidRPr="00000000" w14:paraId="0000000F">
            <w:pPr>
              <w:widowControl w:val="0"/>
              <w:ind w:left="235" w:firstLine="0"/>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及び傷害保険</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OpT6lwFlW64ArNBCqP8QaZ/DQ==">CgMxLjA4AHIhMU1DdzBKclpzWV9YUFUxVmRmVDJ4N3FVZG5uc0hCLVVO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