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資　本　関　係　・　人　的　関　係　調　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678"/>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申請者(入札参加者)名</w:t>
      </w: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①　</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会社法第２条第４号の規定による親会社は、次のとおりです。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②　会社法第２条第３号の規定による子会社のうち、札幌市競争入札参加資格者名簿に登載されている者は、次のとおりです。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③　①に記載した親会社の他の子会社のうち、札幌市競争入札参加資格者名簿に登載されている者は、次のとおりです。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役員等を兼任している他の会社（親子関係にある会社を除く。）のうち、札幌市競争入札参加資格者名簿に登載されている者は、次のとおりです。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役員等とは次に掲げる者をいいます。</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　取締役（社外取締役、執行役を兼ねていない委員会設置会社の取締役は除く。）、代表取締役</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2　委員会設置会社における執行役、代表執行役</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3　会社更生法第67条第1項又は民事再生法第64条第2項の規定により選任された管財人</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6u2VGqHrkMRgKuAcHzqOKquimQ==">CgMxLjA4AHIhMXBCYnNxd0ptQUFROW1JX3hMSkFQWWM1UEZqdGdhSUE1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2012-12-25T09:46:00Z</dcterms:created>
  <dc:creator>4202917</dc:creator>
</cp:coreProperties>
</file>