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 札 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 札 金 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bookmarkStart w:colFirst="0" w:colLast="0" w:name="_heading=h.olvxp1qezd10" w:id="0"/>
            <w:bookmarkEnd w:id="0"/>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 達 件 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6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清田区遊器具等維持管理業務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95"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HrwCbmk2riuelZHt5O5rCmTKhQ==">CgMxLjAyDmgub2x2eHAxcWV6ZDEwOAByITFob0UyMVRGSTFjakJ5UDRQbU5iRWctMFB2Um51aF9kWA==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2022-05-11T00:43:00Z</dcterms:created>
  <dc:creator>札幌市財政局管財部</dc:creator>
</cp:coreProperties>
</file>