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札幌駅前通地下歩行空間他１施設で使用する業務用電力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　氏　　　名　　　　　　　　　　　　　　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と。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070"/>
      </w:tabs>
      <w:spacing w:after="0" w:before="0" w:line="240" w:lineRule="auto"/>
      <w:ind w:left="0" w:right="0" w:firstLine="0"/>
      <w:jc w:val="lef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  <w:tab/>
      <w:tab/>
      <w:tab/>
      <w:t xml:space="preserve">別紙３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3URBlV4mydRxWBQY3Ee1maHkw==">CgMxLjA4AHIhMWxxcWE0RG1VNGpKWC1QTlJnQktNYUI5bFFzUGNKTExn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