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0E59" w:rsidRDefault="00260CFA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6186170</wp:posOffset>
                </wp:positionH>
                <wp:positionV relativeFrom="paragraph">
                  <wp:posOffset>-407035</wp:posOffset>
                </wp:positionV>
                <wp:extent cx="41910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CFA" w:rsidRPr="00FD512A" w:rsidRDefault="00260CFA" w:rsidP="00FD51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D51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7.1pt;margin-top:-32.05pt;width:3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" filled="f" stroked="f" strokeweight=".5pt">
                <v:textbox>
                  <w:txbxContent>
                    <w:p w:rsidR="00260CFA" w:rsidRPr="00FD512A" w:rsidRDefault="00260CFA" w:rsidP="00FD51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D512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7EB"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="00A007EB"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D512A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FD512A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260CFA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6138545</wp:posOffset>
                </wp:positionH>
                <wp:positionV relativeFrom="paragraph">
                  <wp:posOffset>-397510</wp:posOffset>
                </wp:positionV>
                <wp:extent cx="41910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CFA" w:rsidRPr="00FD512A" w:rsidRDefault="00260CFA" w:rsidP="00260C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D512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83.35pt;margin-top:-31.3pt;width:3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blnwIAAHkFAAAOAAAAZHJzL2Uyb0RvYy54bWysVM1uEzEQviPxDpbvdJM0L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" filled="f" stroked="f" strokeweight=".5pt">
                <v:textbox>
                  <w:txbxContent>
                    <w:p w:rsidR="00260CFA" w:rsidRPr="00FD512A" w:rsidRDefault="00260CFA" w:rsidP="00260C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D512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922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1E0922"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A133F7" w:rsidRDefault="0031601C" w:rsidP="00F47BEB">
      <w:pPr>
        <w:spacing w:line="400" w:lineRule="exact"/>
        <w:ind w:left="665" w:hangingChars="300" w:hanging="66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133F7" w:rsidRDefault="00A133F7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2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98" w:rsidRDefault="00BA2E98" w:rsidP="008A095B">
      <w:r>
        <w:separator/>
      </w:r>
    </w:p>
  </w:endnote>
  <w:endnote w:type="continuationSeparator" w:id="0">
    <w:p w:rsidR="00BA2E98" w:rsidRDefault="00BA2E98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8B" w:rsidRPr="002D2E8B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E8B" w:rsidRPr="002D2E8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98" w:rsidRDefault="00BA2E98" w:rsidP="008A095B">
      <w:r>
        <w:separator/>
      </w:r>
    </w:p>
  </w:footnote>
  <w:footnote w:type="continuationSeparator" w:id="0">
    <w:p w:rsidR="00BA2E98" w:rsidRDefault="00BA2E98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F6" w:rsidRPr="004930E3" w:rsidRDefault="005B0A18" w:rsidP="005B0A1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（別紙）　　　　　</w:t>
    </w:r>
    <w:r w:rsidR="00260CFA">
      <w:rPr>
        <w:rFonts w:hint="eastAsia"/>
        <w:sz w:val="20"/>
        <w:szCs w:val="20"/>
      </w:rPr>
      <w:t xml:space="preserve">　　　　　　　　　　　　　　　　　　　　　　　　　　　　　</w:t>
    </w:r>
    <w:r w:rsidR="004930E3" w:rsidRPr="004930E3">
      <w:rPr>
        <w:rFonts w:hint="eastAsia"/>
        <w:sz w:val="20"/>
        <w:szCs w:val="20"/>
      </w:rPr>
      <w:t>【令和３年４月版】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BA" w:rsidRDefault="00771BBA">
    <w:pPr>
      <w:pStyle w:val="a3"/>
    </w:pPr>
    <w: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0CFA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2E8B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0F18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0E3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0A18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0F3C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672C3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33F7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6089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E2CF4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2E98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47BEB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12A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FC2DD-BD1B-433A-A81F-68E2B558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224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2022-04-04T01:44:00Z</dcterms:created>
  <dcterms:modified xsi:type="dcterms:W3CDTF">2022-04-04T01:44:00Z</dcterms:modified>
</cp:coreProperties>
</file>