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1"/>
        <w:tblW w:w="9288.0" w:type="dxa"/>
        <w:jc w:val="left"/>
        <w:tblInd w:w="-105.0" w:type="dxa"/>
        <w:tblLayout w:type="fixed"/>
        <w:tblLook w:val="0000"/>
      </w:tblPr>
      <w:tblGrid>
        <w:gridCol w:w="303"/>
        <w:gridCol w:w="2424"/>
        <w:gridCol w:w="6262"/>
        <w:gridCol w:w="289"/>
        <w:gridCol w:w="10"/>
        <w:tblGridChange w:id="0">
          <w:tblGrid>
            <w:gridCol w:w="303"/>
            <w:gridCol w:w="2424"/>
            <w:gridCol w:w="6262"/>
            <w:gridCol w:w="289"/>
            <w:gridCol w:w="10"/>
          </w:tblGrid>
        </w:tblGridChange>
      </w:tblGrid>
      <w:tr>
        <w:trPr>
          <w:cantSplit w:val="0"/>
          <w:trHeight w:val="1642" w:hRule="atLeast"/>
          <w:tblHeader w:val="0"/>
        </w:trPr>
        <w:tc>
          <w:tcPr>
            <w:gridSpan w:val="5"/>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48"/>
                <w:szCs w:val="48"/>
                <w:u w:val="none"/>
                <w:shd w:fill="auto" w:val="clear"/>
                <w:vertAlign w:val="baseline"/>
                <w:rtl w:val="0"/>
              </w:rPr>
              <w:t xml:space="preserve">入札書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札幌市</w:t>
            </w:r>
            <w:r w:rsidDel="00000000" w:rsidR="00000000" w:rsidRPr="00000000">
              <w:rPr>
                <w:sz w:val="24"/>
                <w:szCs w:val="24"/>
                <w:rtl w:val="0"/>
              </w:rPr>
              <w:t xml:space="preserve">稲</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寿園エアコン設置業務</w:t>
            </w:r>
            <w:r w:rsidDel="00000000" w:rsidR="00000000" w:rsidRPr="00000000">
              <w:rPr>
                <w:rtl w:val="0"/>
              </w:rPr>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入札代理人　　氏　　　　名　　　　　　　　　　　　　　　　　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yO6V5cXx9MKhfQqUiJdie2ADQ==">CgMxLjA4AHIhMTZRRElId2pyZW5TbWlKYVRFU3JTLUI2RVJxbEgzLW41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2018-01-25T05:48:00Z</dcterms:created>
  <dc:creator>札幌市財政局管財部</dc:creator>
</cp:coreProperties>
</file>