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質　問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業務名　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年度～令和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10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年度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就労ボランティア体験事業委託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7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　　　　　　　　　　　　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企画提案するにあたっての質問事項があれば、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）17時まで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に、この様式によりEメールで送付してください。電話や口頭での質問は受け付けません。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送付先：札幌市保健福祉局総務部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保護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課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自立支援担当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井上、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辻村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Eメール：</w:t>
      </w:r>
      <w:hyperlink r:id="rId7">
        <w:r w:rsidDel="00000000" w:rsidR="00000000" w:rsidRPr="00000000">
          <w:rPr>
            <w:rFonts w:ascii="MS Mincho" w:cs="MS Mincho" w:eastAsia="MS Mincho" w:hAnsi="MS Mincho"/>
            <w:color w:val="1155cc"/>
            <w:sz w:val="22"/>
            <w:szCs w:val="22"/>
            <w:u w:val="single"/>
            <w:rtl w:val="0"/>
          </w:rPr>
          <w:t xml:space="preserve">seikatsuhogo</w:t>
        </w:r>
      </w:hyperlink>
      <w:hyperlink r:id="rId8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1155cc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@city.sapporo.jp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851" w:top="1167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未解決のメンション">
    <w:name w:val="未解決のメンション"/>
    <w:next w:val="未解決のメンション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ikatsuhogo@city.sapporo.jp" TargetMode="External"/><Relationship Id="rId8" Type="http://schemas.openxmlformats.org/officeDocument/2006/relationships/hyperlink" Target="mailto:seikatsuhogo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8WRKs5U//VJQOkutXyVL6RBG7Q==">CgMxLjA4AHIhMVkwWVlxTHFaeWdNeFB0QjNMZHhFRFlaVUtTOXdLNE13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2019-11-27T07:00:00Z</dcterms:created>
  <dc:creator>82094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