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60"/>
        <w:gridCol w:w="2175"/>
        <w:gridCol w:w="6525"/>
        <w:gridCol w:w="210"/>
        <w:gridCol w:w="105"/>
        <w:tblGridChange w:id="0">
          <w:tblGrid>
            <w:gridCol w:w="360"/>
            <w:gridCol w:w="2175"/>
            <w:gridCol w:w="6525"/>
            <w:gridCol w:w="210"/>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sz w:val="28"/>
                <w:szCs w:val="28"/>
                <w:rtl w:val="0"/>
              </w:rPr>
              <w:t xml:space="preserve">８年</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度札幌市国民健康保険</w:t>
            </w:r>
            <w:r w:rsidDel="00000000" w:rsidR="00000000" w:rsidRPr="00000000">
              <w:rPr>
                <w:rFonts w:ascii="MS Mincho" w:cs="MS Mincho" w:eastAsia="MS Mincho" w:hAnsi="MS Mincho"/>
                <w:sz w:val="28"/>
                <w:szCs w:val="28"/>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8"/>
                <w:szCs w:val="28"/>
                <w:rtl w:val="0"/>
              </w:rPr>
              <w:t xml:space="preserve">後期高齢者医療制度</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適正服薬推進業務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33.9999999999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r w:rsidDel="00000000" w:rsidR="00000000" w:rsidRPr="00000000">
              <w:rPr>
                <w:rFonts w:ascii="MS Mincho" w:cs="MS Mincho" w:eastAsia="MS Mincho" w:hAnsi="MS Mincho"/>
                <w:sz w:val="22"/>
                <w:szCs w:val="22"/>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0">
      <w:pPr>
        <w:widowControl w:val="0"/>
        <w:ind w:left="1146" w:right="488" w:hanging="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31">
      <w:pPr>
        <w:widowControl w:val="0"/>
        <w:ind w:right="488" w:firstLine="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vmXbl/B9Kf7QixZsiQ3Fff+EA==">CgMxLjA4AHIhMUgyTVpCVXdXNWJhLVpZVTM5OHFiYWJYbWRQaVBBMC1R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