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MS Mincho" w:cs="MS Mincho" w:eastAsia="MS Mincho" w:hAnsi="MS Mincho"/>
          <w:b w:val="1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b w:val="1"/>
          <w:sz w:val="22"/>
          <w:szCs w:val="22"/>
          <w:rtl w:val="0"/>
        </w:rPr>
        <w:t xml:space="preserve">契約実績調書</w:t>
      </w:r>
    </w:p>
    <w:p w:rsidR="00000000" w:rsidDel="00000000" w:rsidP="00000000" w:rsidRDefault="00000000" w:rsidRPr="00000000" w14:paraId="00000002">
      <w:pPr>
        <w:spacing w:line="360" w:lineRule="auto"/>
        <w:ind w:right="-31" w:firstLine="979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申請者(入札参加者)名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u w:val="single"/>
          <w:rtl w:val="0"/>
        </w:rPr>
        <w:t xml:space="preserve">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●契約実績</w:t>
      </w:r>
    </w:p>
    <w:tbl>
      <w:tblPr>
        <w:tblStyle w:val="Table1"/>
        <w:tblW w:w="1460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7"/>
        <w:gridCol w:w="3402"/>
        <w:gridCol w:w="2977"/>
        <w:gridCol w:w="2835"/>
        <w:tblGridChange w:id="0">
          <w:tblGrid>
            <w:gridCol w:w="5387"/>
            <w:gridCol w:w="3402"/>
            <w:gridCol w:w="2977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22">
      <w:pPr>
        <w:spacing w:line="360" w:lineRule="auto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【留意事項】</w:t>
      </w:r>
    </w:p>
    <w:p w:rsidR="00000000" w:rsidDel="00000000" w:rsidP="00000000" w:rsidRDefault="00000000" w:rsidRPr="00000000" w14:paraId="00000024">
      <w:pPr>
        <w:spacing w:line="360" w:lineRule="auto"/>
        <w:ind w:left="199" w:hanging="199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１　令和２年４月１日以降に、公共機関等※が発注した除雪業務にかかる、元受けとしての履行実績（共同企業体により履行した業務を含む）を記載すること。</w:t>
      </w:r>
    </w:p>
    <w:p w:rsidR="00000000" w:rsidDel="00000000" w:rsidP="00000000" w:rsidRDefault="00000000" w:rsidRPr="00000000" w14:paraId="00000025">
      <w:pPr>
        <w:spacing w:line="360" w:lineRule="auto"/>
        <w:ind w:left="199" w:hanging="199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２　札幌市の契約実績がある場合は、札幌市契約規則第25条第３号の規定を適用し、契約保証金を免除できる場合があります。</w:t>
      </w:r>
    </w:p>
    <w:p w:rsidR="00000000" w:rsidDel="00000000" w:rsidP="00000000" w:rsidRDefault="00000000" w:rsidRPr="00000000" w14:paraId="00000026">
      <w:pPr>
        <w:spacing w:line="360" w:lineRule="auto"/>
        <w:ind w:left="199" w:hanging="199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３　契約実績を証する書面として、契約書の写し（契約名、発注者名、契約金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0" w:right="0" w:hanging="360"/>
        <w:jc w:val="both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公共機関等とは、一般財団法人日本建設情報総合センターが定める建設実績情報のコリンズ・テクリス登録システム利用規約第3条第10号に掲げる機関をいう。</w:t>
      </w:r>
    </w:p>
    <w:sectPr>
      <w:headerReference r:id="rId7" w:type="default"/>
      <w:pgSz w:h="11906" w:w="16838" w:orient="landscape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570" w:hanging="360"/>
      </w:pPr>
      <w:rPr>
        <w:rFonts w:ascii="MS Mincho" w:cs="MS Mincho" w:eastAsia="MS Mincho" w:hAnsi="MS Mincho"/>
      </w:rPr>
    </w:lvl>
    <w:lvl w:ilvl="1">
      <w:start w:val="1"/>
      <w:numFmt w:val="bullet"/>
      <w:lvlText w:val="⮚"/>
      <w:lvlJc w:val="left"/>
      <w:pPr>
        <w:ind w:left="105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47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9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31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73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15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57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3990" w:hanging="42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405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 w:val="1"/>
    <w:unhideWhenUsed w:val="1"/>
    <w:rsid w:val="00374C32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 w:val="1"/>
    <w:rsid w:val="00374C32"/>
    <w:rPr>
      <w:rFonts w:asciiTheme="majorHAnsi" w:cstheme="majorBidi" w:eastAsiaTheme="majorEastAsia" w:hAnsiTheme="majorHAnsi"/>
      <w:sz w:val="18"/>
      <w:szCs w:val="18"/>
    </w:rPr>
  </w:style>
  <w:style w:type="paragraph" w:styleId="aa">
    <w:name w:val="List Paragraph"/>
    <w:basedOn w:val="a"/>
    <w:uiPriority w:val="34"/>
    <w:qFormat w:val="1"/>
    <w:rsid w:val="00374C32"/>
    <w:pPr>
      <w:ind w:left="840" w:leftChars="4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Ir7uDuYo2e+MW1vI5JV/7vVS2Q==">CgMxLjA4AHIhMTBlNDBvYnJXemtJVUVXOUh0WVNjYmVlRUNoekZ4dl8x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2017-08-13T05:46:00Z</dcterms:created>
  <dc:creator>113.伊藤　亮</dc:creator>
</cp:coreProperties>
</file>