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488A7B4D"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CB4750">
              <w:rPr>
                <w:rFonts w:ascii="UD デジタル 教科書体 NP-R" w:eastAsia="UD デジタル 教科書体 NP-R"/>
                <w:szCs w:val="28"/>
              </w:rPr>
              <w:fldChar w:fldCharType="separate"/>
            </w:r>
            <w:r w:rsidR="00CB4750" w:rsidRPr="0017313F">
              <w:rPr>
                <w:rFonts w:ascii="UD デジタル 教科書体 NP-R" w:eastAsia="UD デジタル 教科書体 NP-R"/>
                <w:noProof/>
                <w:szCs w:val="28"/>
              </w:rPr>
              <w:t>基本業務1月当たりの単価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00127E1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B4750" w:rsidRPr="0017313F">
              <w:rPr>
                <w:rFonts w:hAnsi="ＭＳ 明朝"/>
                <w:b/>
                <w:noProof/>
                <w:spacing w:val="8"/>
                <w:sz w:val="28"/>
              </w:rPr>
              <w:t>東部スラッジセンター等脱水汚泥運搬業務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25A4"/>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4750"/>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2024-12-12T00:29:00Z</dcterms:modified>
</cp:coreProperties>
</file>