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EC2BC0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EC2BC0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573A51C4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1121C6" w:rsidRPr="008B6D26">
        <w:rPr>
          <w:rFonts w:asciiTheme="majorEastAsia" w:eastAsiaTheme="majorEastAsia" w:hAnsiTheme="majorEastAsia"/>
          <w:noProof/>
          <w:spacing w:val="20"/>
          <w:sz w:val="22"/>
          <w:szCs w:val="24"/>
        </w:rPr>
        <w:t>豊平川中継ポンプ場ほか１施設高圧電気設備点検業務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2F90FBD" w14:textId="718A778A" w:rsidR="002666B5" w:rsidRPr="008E79B1" w:rsidRDefault="00EC2BC0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官公庁が発注した下水道処理施設の高圧電気設備点検業務の履行</w:t>
      </w:r>
      <w:r w:rsidRPr="00422BFB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09E20E37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E81F93">
        <w:rPr>
          <w:rFonts w:asciiTheme="minorEastAsia" w:hAnsiTheme="minorEastAsia" w:hint="eastAsia"/>
          <w:sz w:val="22"/>
        </w:rPr>
        <w:t>26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4950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1C6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A6658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1F93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2BC0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2024-08-28T03:46:00Z</dcterms:modified>
</cp:coreProperties>
</file>