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2365D5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365D5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778F9224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D5464D" w:rsidRPr="00C137F7">
        <w:rPr>
          <w:rFonts w:asciiTheme="majorEastAsia" w:eastAsiaTheme="majorEastAsia" w:hAnsiTheme="majorEastAsia"/>
          <w:noProof/>
          <w:spacing w:val="20"/>
          <w:sz w:val="22"/>
          <w:szCs w:val="24"/>
        </w:rPr>
        <w:t>２級河川琴似川ほか流況観測業務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020B13AF" w:rsidR="002666B5" w:rsidRPr="008E79B1" w:rsidRDefault="006E7718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593CDC">
        <w:rPr>
          <w:rFonts w:asciiTheme="majorEastAsia" w:eastAsiaTheme="majorEastAsia" w:hAnsiTheme="majorEastAsia" w:hint="eastAsia"/>
          <w:spacing w:val="6"/>
          <w:sz w:val="24"/>
          <w:szCs w:val="24"/>
        </w:rPr>
        <w:t>「河川の高水流量観測」に関する調査</w:t>
      </w:r>
      <w:r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0BE6F05E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6E7718">
        <w:rPr>
          <w:rFonts w:asciiTheme="minorEastAsia" w:hAnsiTheme="minorEastAsia"/>
          <w:sz w:val="22"/>
        </w:rPr>
        <w:t>21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5272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7A0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E7718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464D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2024-05-22T07:03:00Z</dcterms:modified>
</cp:coreProperties>
</file>