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1CA1C455"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AE643E">
              <w:rPr>
                <w:rFonts w:ascii="UD デジタル 教科書体 NP-R" w:eastAsia="UD デジタル 教科書体 NP-R"/>
                <w:szCs w:val="28"/>
              </w:rPr>
              <w:fldChar w:fldCharType="separate"/>
            </w:r>
            <w:r w:rsidR="00AE643E" w:rsidRPr="004E7864">
              <w:rPr>
                <w:rFonts w:ascii="UD デジタル 教科書体 NP-R" w:eastAsia="UD デジタル 教科書体 NP-R"/>
                <w:noProof/>
                <w:szCs w:val="28"/>
              </w:rPr>
              <w:t>「マンホールポンプ施設・年次点検（P２台）」1回当たりの単価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1CBB793C"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E643E" w:rsidRPr="004E7864">
              <w:rPr>
                <w:rFonts w:hAnsi="ＭＳ 明朝"/>
                <w:b/>
                <w:noProof/>
                <w:spacing w:val="8"/>
                <w:sz w:val="28"/>
              </w:rPr>
              <w:t>マンホールポンプ施設等維持管理業務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393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369F"/>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E643E"/>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324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2024-02-15T08:21:00Z</dcterms:modified>
</cp:coreProperties>
</file>