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1F1D5DA2"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6E1609">
        <w:rPr>
          <w:rFonts w:asciiTheme="minorEastAsia" w:hAnsiTheme="minorEastAsia" w:cs="Times New Roman"/>
          <w:b/>
          <w:spacing w:val="10"/>
          <w:sz w:val="24"/>
          <w:szCs w:val="24"/>
          <w:u w:val="single"/>
        </w:rPr>
        <w:fldChar w:fldCharType="separate"/>
      </w:r>
      <w:r w:rsidR="006E1609" w:rsidRPr="004B6CED">
        <w:rPr>
          <w:rFonts w:asciiTheme="minorEastAsia" w:hAnsiTheme="minorEastAsia" w:cs="Times New Roman"/>
          <w:b/>
          <w:noProof/>
          <w:spacing w:val="10"/>
          <w:sz w:val="24"/>
          <w:szCs w:val="24"/>
          <w:u w:val="single"/>
        </w:rPr>
        <w:t>令和５年度　浸水対策基本検討業務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38B47D71"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A297C"/>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1609"/>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5AE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BF697B"/>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48</cp:revision>
  <cp:lastPrinted>2023-06-15T04:37:00Z</cp:lastPrinted>
  <dcterms:created xsi:type="dcterms:W3CDTF">2020-06-08T10:08:00Z</dcterms:created>
  <dcterms:modified xsi:type="dcterms:W3CDTF">2023-06-15T04:37:00Z</dcterms:modified>
</cp:coreProperties>
</file>