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761929A4" w14:textId="5EEC89A4"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A10F1D" w:rsidRPr="00800900">
        <w:rPr>
          <w:rFonts w:asciiTheme="majorEastAsia" w:eastAsiaTheme="majorEastAsia" w:hAnsiTheme="majorEastAsia"/>
          <w:noProof/>
          <w:spacing w:val="20"/>
          <w:sz w:val="22"/>
          <w:szCs w:val="24"/>
        </w:rPr>
        <w:t>１級河川雁来川ほか１河川事業損失防止調査業務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01110A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EA648C">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0F1D"/>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2023-03-28T06:39:00Z</dcterms:modified>
</cp:coreProperties>
</file>