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B0748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0748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B4500C" w:rsidRPr="00D87BF4">
        <w:rPr>
          <w:rFonts w:asciiTheme="majorEastAsia" w:eastAsiaTheme="majorEastAsia" w:hAnsiTheme="majorEastAsia"/>
          <w:noProof/>
          <w:spacing w:val="20"/>
          <w:sz w:val="22"/>
          <w:szCs w:val="24"/>
        </w:rPr>
        <w:t>二級河川琴似川ほか流況観測業務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B07480" w:rsidP="00B07480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B07480">
        <w:rPr>
          <w:rFonts w:asciiTheme="majorEastAsia" w:eastAsiaTheme="majorEastAsia" w:hAnsiTheme="majorEastAsia" w:hint="eastAsia"/>
          <w:spacing w:val="6"/>
          <w:sz w:val="24"/>
          <w:szCs w:val="24"/>
        </w:rPr>
        <w:t>「河川の高水流量観測」に関する調査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0748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500C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2022-05-16T07:25:00Z</dcterms:created>
  <dcterms:modified xsi:type="dcterms:W3CDTF">2022-05-16T07:51:00Z</dcterms:modified>
</cp:coreProperties>
</file>