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2E1089" w:rsidRPr="00445B4A">
              <w:rPr>
                <w:rFonts w:ascii="UD デジタル 教科書体 NP-R" w:eastAsia="UD デジタル 教科書体 NP-R"/>
                <w:noProof/>
                <w:szCs w:val="28"/>
              </w:rPr>
              <w:t>手稲水再生プラザの除雪1回（195分相当）当たりの単価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E1089" w:rsidRPr="00445B4A">
              <w:rPr>
                <w:rFonts w:hAnsi="ＭＳ 明朝"/>
                <w:b/>
                <w:noProof/>
                <w:spacing w:val="8"/>
                <w:sz w:val="28"/>
              </w:rPr>
              <w:t>手稲水再生プラザほか１施設構内除雪業務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5B61"/>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E1089"/>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04C4-FD25-4EAA-915A-409333F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2022-10-03T06:30:00Z</dcterms:modified>
</cp:coreProperties>
</file>