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2E1089" w:rsidRPr="00445B4A">
              <w:rPr>
                <w:rFonts w:ascii="UD デジタル 教科書体 NP-R" w:eastAsia="UD デジタル 教科書体 NP-R"/>
                <w:noProof/>
                <w:szCs w:val="28"/>
              </w:rPr>
              <w:t>手稲水再生プラザの除雪1回（195分相当）当たりの単価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E1089" w:rsidRPr="00445B4A">
              <w:rPr>
                <w:rFonts w:hAnsi="ＭＳ 明朝"/>
                <w:b/>
                <w:noProof/>
                <w:spacing w:val="8"/>
                <w:sz w:val="28"/>
              </w:rPr>
              <w:t>手稲水再生プラザほか１施設構内除雪業務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5B61"/>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E1089"/>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3485"/>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04C4-FD25-4EAA-915A-409333F8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321</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32</cp:revision>
  <cp:lastPrinted>2020-04-16T13:06:00Z</cp:lastPrinted>
  <dcterms:created xsi:type="dcterms:W3CDTF">2020-04-03T11:56:00Z</dcterms:created>
  <dcterms:modified xsi:type="dcterms:W3CDTF">2022-10-03T06:30:00Z</dcterms:modified>
</cp:coreProperties>
</file>