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FD078C">
              <w:rPr>
                <w:rFonts w:hint="eastAsia"/>
                <w:spacing w:val="826"/>
                <w:kern w:val="0"/>
                <w:sz w:val="48"/>
                <w:fitText w:val="4752" w:id="-1541773824"/>
              </w:rPr>
              <w:t>入札</w:t>
            </w:r>
            <w:r w:rsidR="00C442A1" w:rsidRPr="00FD078C">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14405" w:rsidRPr="005E2A2A">
              <w:rPr>
                <w:rFonts w:hAnsi="ＭＳ 明朝"/>
                <w:b/>
                <w:noProof/>
                <w:spacing w:val="8"/>
                <w:sz w:val="28"/>
              </w:rPr>
              <w:t>屯田川ポンプゲート他点検整備業務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405"/>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E52"/>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65F2A"/>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2A8D"/>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78C"/>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3C7E-C0BE-4FEA-A5C9-0F945CAF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2022-02-01T10:36:00Z</cp:lastPrinted>
  <dcterms:created xsi:type="dcterms:W3CDTF">2021-12-16T04:49:00Z</dcterms:created>
  <dcterms:modified xsi:type="dcterms:W3CDTF">2022-02-01T10:36:00Z</dcterms:modified>
</cp:coreProperties>
</file>